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0B9D6644" w14:textId="77777777" w:rsidR="007E7553" w:rsidRDefault="000724EA" w:rsidP="007E7553">
      <w:pPr>
        <w:spacing w:after="0"/>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7E7553" w:rsidRPr="007D6E5E">
        <w:rPr>
          <w:rFonts w:ascii="Times New Roman" w:hAnsi="Times New Roman"/>
          <w:sz w:val="22"/>
          <w:szCs w:val="22"/>
        </w:rPr>
        <w:t>For Contracting authority:</w:t>
      </w:r>
    </w:p>
    <w:p w14:paraId="3068EA16" w14:textId="77777777" w:rsidR="007E7553" w:rsidRDefault="007E7553" w:rsidP="007E7553">
      <w:pPr>
        <w:spacing w:after="0"/>
        <w:ind w:left="1701" w:hanging="567"/>
        <w:rPr>
          <w:rFonts w:ascii="Times New Roman" w:hAnsi="Times New Roman"/>
          <w:sz w:val="22"/>
          <w:szCs w:val="22"/>
        </w:rPr>
      </w:pPr>
      <w:r w:rsidRPr="007D6E5E">
        <w:rPr>
          <w:rFonts w:ascii="Times New Roman" w:hAnsi="Times New Roman"/>
          <w:sz w:val="22"/>
          <w:szCs w:val="22"/>
        </w:rPr>
        <w:t xml:space="preserve">Municipality of </w:t>
      </w:r>
      <w:proofErr w:type="spellStart"/>
      <w:r w:rsidRPr="007D6E5E">
        <w:rPr>
          <w:rFonts w:ascii="Times New Roman" w:hAnsi="Times New Roman"/>
          <w:sz w:val="22"/>
          <w:szCs w:val="22"/>
        </w:rPr>
        <w:t>Merosina</w:t>
      </w:r>
      <w:proofErr w:type="spellEnd"/>
    </w:p>
    <w:p w14:paraId="43E92E5A" w14:textId="77777777" w:rsidR="007E7553" w:rsidRPr="007D6E5E" w:rsidRDefault="007E7553" w:rsidP="007E7553">
      <w:pPr>
        <w:spacing w:before="0" w:after="0"/>
        <w:ind w:left="1701" w:hanging="567"/>
        <w:rPr>
          <w:rFonts w:ascii="Times New Roman" w:hAnsi="Times New Roman"/>
          <w:sz w:val="22"/>
          <w:szCs w:val="22"/>
        </w:rPr>
      </w:pPr>
      <w:r w:rsidRPr="007D6E5E">
        <w:rPr>
          <w:rFonts w:ascii="Times New Roman" w:hAnsi="Times New Roman"/>
          <w:sz w:val="22"/>
          <w:szCs w:val="22"/>
        </w:rPr>
        <w:t xml:space="preserve">Cara </w:t>
      </w:r>
      <w:proofErr w:type="spellStart"/>
      <w:r w:rsidRPr="007D6E5E">
        <w:rPr>
          <w:rFonts w:ascii="Times New Roman" w:hAnsi="Times New Roman"/>
          <w:sz w:val="22"/>
          <w:szCs w:val="22"/>
        </w:rPr>
        <w:t>Lazara</w:t>
      </w:r>
      <w:proofErr w:type="spellEnd"/>
      <w:r w:rsidRPr="007D6E5E">
        <w:rPr>
          <w:rFonts w:ascii="Times New Roman" w:hAnsi="Times New Roman"/>
          <w:sz w:val="22"/>
          <w:szCs w:val="22"/>
        </w:rPr>
        <w:t xml:space="preserve"> 17, 18252 </w:t>
      </w:r>
      <w:proofErr w:type="spellStart"/>
      <w:r w:rsidRPr="007D6E5E">
        <w:rPr>
          <w:rFonts w:ascii="Times New Roman" w:hAnsi="Times New Roman"/>
          <w:sz w:val="22"/>
          <w:szCs w:val="22"/>
        </w:rPr>
        <w:t>Merosina</w:t>
      </w:r>
      <w:proofErr w:type="spellEnd"/>
      <w:r w:rsidRPr="007D6E5E">
        <w:rPr>
          <w:rFonts w:ascii="Times New Roman" w:hAnsi="Times New Roman"/>
          <w:sz w:val="22"/>
          <w:szCs w:val="22"/>
        </w:rPr>
        <w:t xml:space="preserve"> </w:t>
      </w:r>
    </w:p>
    <w:p w14:paraId="63A3FCCC" w14:textId="77777777" w:rsidR="007E7553" w:rsidRDefault="007E7553" w:rsidP="007E7553">
      <w:pPr>
        <w:spacing w:before="0" w:after="0"/>
        <w:ind w:left="1701" w:hanging="567"/>
        <w:rPr>
          <w:rFonts w:ascii="Times New Roman" w:hAnsi="Times New Roman"/>
          <w:sz w:val="22"/>
          <w:szCs w:val="22"/>
        </w:rPr>
      </w:pPr>
      <w:r w:rsidRPr="007D6E5E">
        <w:rPr>
          <w:rFonts w:ascii="Times New Roman" w:hAnsi="Times New Roman"/>
          <w:sz w:val="22"/>
          <w:szCs w:val="22"/>
        </w:rPr>
        <w:t xml:space="preserve">Republic of Serbia </w:t>
      </w:r>
    </w:p>
    <w:p w14:paraId="2526109A" w14:textId="77777777" w:rsidR="007E7553" w:rsidRDefault="007E7553" w:rsidP="007E7553">
      <w:pPr>
        <w:spacing w:before="0" w:after="0"/>
        <w:ind w:left="1701" w:hanging="567"/>
        <w:rPr>
          <w:rFonts w:ascii="Times New Roman" w:hAnsi="Times New Roman"/>
          <w:sz w:val="22"/>
          <w:szCs w:val="22"/>
        </w:rPr>
      </w:pPr>
    </w:p>
    <w:p w14:paraId="4057AC67" w14:textId="77777777" w:rsidR="007E7553" w:rsidRPr="007D6E5E" w:rsidRDefault="007E7553" w:rsidP="007E7553">
      <w:pPr>
        <w:spacing w:before="0" w:after="0"/>
        <w:ind w:left="1701" w:hanging="567"/>
        <w:rPr>
          <w:rFonts w:ascii="Times New Roman" w:hAnsi="Times New Roman"/>
          <w:sz w:val="22"/>
          <w:szCs w:val="22"/>
        </w:rPr>
      </w:pPr>
      <w:r w:rsidRPr="007D6E5E">
        <w:rPr>
          <w:rFonts w:ascii="Times New Roman" w:hAnsi="Times New Roman"/>
          <w:sz w:val="22"/>
          <w:szCs w:val="22"/>
        </w:rPr>
        <w:t>For Contractor:</w:t>
      </w:r>
    </w:p>
    <w:p w14:paraId="7E7DB7B1" w14:textId="77777777" w:rsidR="007E7553" w:rsidRPr="007D6E5E" w:rsidRDefault="007E7553" w:rsidP="007E7553">
      <w:pPr>
        <w:spacing w:before="0" w:after="0"/>
        <w:ind w:left="1701" w:hanging="567"/>
        <w:rPr>
          <w:rFonts w:ascii="Times New Roman" w:hAnsi="Times New Roman"/>
          <w:sz w:val="22"/>
          <w:szCs w:val="22"/>
          <w:highlight w:val="yellow"/>
        </w:rPr>
      </w:pPr>
      <w:r w:rsidRPr="007D6E5E">
        <w:rPr>
          <w:rFonts w:ascii="Times New Roman" w:hAnsi="Times New Roman"/>
          <w:sz w:val="22"/>
          <w:szCs w:val="22"/>
          <w:highlight w:val="yellow"/>
        </w:rPr>
        <w:t>&lt;Name&gt;</w:t>
      </w:r>
    </w:p>
    <w:p w14:paraId="794DFE9C" w14:textId="7C830D3D" w:rsidR="0047783A" w:rsidRDefault="007E7553" w:rsidP="007E7553">
      <w:pPr>
        <w:spacing w:before="0" w:after="0"/>
        <w:ind w:left="1701" w:hanging="567"/>
        <w:rPr>
          <w:rFonts w:ascii="Times New Roman" w:hAnsi="Times New Roman"/>
          <w:sz w:val="22"/>
          <w:szCs w:val="22"/>
        </w:rPr>
      </w:pPr>
      <w:r w:rsidRPr="007D6E5E">
        <w:rPr>
          <w:rFonts w:ascii="Times New Roman" w:hAnsi="Times New Roman"/>
          <w:sz w:val="22"/>
          <w:szCs w:val="22"/>
          <w:highlight w:val="yellow"/>
        </w:rPr>
        <w:t>&lt;Contact details&gt;</w:t>
      </w: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1AEB5AAB" w14:textId="3827ED41" w:rsidR="007E7553" w:rsidRPr="007E7553" w:rsidRDefault="007E7553" w:rsidP="007E7553">
      <w:pPr>
        <w:ind w:left="567"/>
        <w:jc w:val="both"/>
        <w:rPr>
          <w:rFonts w:ascii="Times New Roman" w:hAnsi="Times New Roman"/>
          <w:sz w:val="22"/>
          <w:szCs w:val="22"/>
        </w:rPr>
      </w:pPr>
      <w:bookmarkStart w:id="4" w:name="_Toc124934899"/>
      <w:r w:rsidRPr="007E7553">
        <w:rPr>
          <w:rFonts w:ascii="Times New Roman" w:hAnsi="Times New Roman"/>
          <w:sz w:val="22"/>
          <w:szCs w:val="22"/>
        </w:rPr>
        <w:t xml:space="preserve">Any specific documents, other than those described Instruction to Tenderers </w:t>
      </w:r>
      <w:r>
        <w:rPr>
          <w:rFonts w:ascii="Times New Roman" w:hAnsi="Times New Roman"/>
          <w:sz w:val="22"/>
          <w:szCs w:val="22"/>
        </w:rPr>
        <w:t>–</w:t>
      </w:r>
      <w:r w:rsidRPr="007E7553">
        <w:rPr>
          <w:rFonts w:ascii="Times New Roman" w:hAnsi="Times New Roman"/>
          <w:sz w:val="22"/>
          <w:szCs w:val="22"/>
        </w:rPr>
        <w:t xml:space="preserve"> Content</w:t>
      </w:r>
      <w:r>
        <w:rPr>
          <w:rFonts w:ascii="Times New Roman" w:hAnsi="Times New Roman"/>
          <w:sz w:val="22"/>
          <w:szCs w:val="22"/>
        </w:rPr>
        <w:t xml:space="preserve"> </w:t>
      </w:r>
      <w:r w:rsidRPr="007E7553">
        <w:rPr>
          <w:rFonts w:ascii="Times New Roman" w:hAnsi="Times New Roman"/>
          <w:sz w:val="22"/>
          <w:szCs w:val="22"/>
        </w:rPr>
        <w:t>of tenders, used for submission by the Contractor to the Contracting Authority, are referred to in the Annex II + III – Technical Specifications + Technical Offer.</w:t>
      </w:r>
    </w:p>
    <w:p w14:paraId="520220DF" w14:textId="77777777" w:rsidR="007E7553" w:rsidRPr="007E7553" w:rsidRDefault="007E7553" w:rsidP="007E7553">
      <w:pPr>
        <w:ind w:left="1134" w:hanging="567"/>
        <w:jc w:val="both"/>
        <w:rPr>
          <w:rFonts w:ascii="Times New Roman" w:hAnsi="Times New Roman"/>
          <w:sz w:val="22"/>
          <w:szCs w:val="22"/>
        </w:rPr>
      </w:pPr>
      <w:r w:rsidRPr="007E7553">
        <w:rPr>
          <w:rFonts w:ascii="Times New Roman" w:hAnsi="Times New Roman"/>
          <w:sz w:val="22"/>
          <w:szCs w:val="22"/>
        </w:rPr>
        <w:t>At the time of delivery, the Contractor shall provide:</w:t>
      </w:r>
    </w:p>
    <w:p w14:paraId="36B3E12E" w14:textId="77777777" w:rsidR="007E7553" w:rsidRPr="004E0067" w:rsidRDefault="007E7553" w:rsidP="007E7553">
      <w:pPr>
        <w:ind w:left="567"/>
        <w:jc w:val="both"/>
        <w:rPr>
          <w:rFonts w:ascii="Times New Roman" w:hAnsi="Times New Roman"/>
          <w:color w:val="000000"/>
          <w:sz w:val="22"/>
          <w:szCs w:val="22"/>
        </w:rPr>
      </w:pPr>
      <w:r w:rsidRPr="007E7553">
        <w:rPr>
          <w:rFonts w:ascii="Times New Roman" w:hAnsi="Times New Roman"/>
          <w:sz w:val="22"/>
          <w:szCs w:val="22"/>
        </w:rPr>
        <w:t>all relevant technical</w:t>
      </w:r>
      <w:r w:rsidRPr="004E0067">
        <w:rPr>
          <w:rFonts w:ascii="Times New Roman" w:hAnsi="Times New Roman"/>
          <w:color w:val="000000"/>
          <w:sz w:val="22"/>
          <w:szCs w:val="22"/>
        </w:rPr>
        <w:t xml:space="preserve"> documentation for the equipment including, but not limited to, detailed technical specifications and operational and maintenance manuals;</w:t>
      </w:r>
    </w:p>
    <w:p w14:paraId="30F824D9" w14:textId="77777777" w:rsidR="007E7553" w:rsidRDefault="007E7553" w:rsidP="00B34179">
      <w:pPr>
        <w:spacing w:before="240"/>
        <w:ind w:left="1134" w:hanging="1134"/>
        <w:jc w:val="both"/>
        <w:rPr>
          <w:rFonts w:ascii="Times New Roman" w:hAnsi="Times New Roman"/>
          <w:b/>
          <w:sz w:val="24"/>
          <w:szCs w:val="24"/>
        </w:rPr>
      </w:pPr>
    </w:p>
    <w:p w14:paraId="35062D7D" w14:textId="6EC5AFDA"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8</w:t>
      </w:r>
      <w:r w:rsidRPr="003D6B6C">
        <w:rPr>
          <w:rFonts w:ascii="Times New Roman" w:hAnsi="Times New Roman"/>
          <w:b/>
          <w:sz w:val="24"/>
          <w:szCs w:val="24"/>
        </w:rPr>
        <w:tab/>
        <w:t>Assistance with local regulations</w:t>
      </w:r>
      <w:bookmarkEnd w:id="4"/>
    </w:p>
    <w:p w14:paraId="29E523DC" w14:textId="77777777" w:rsidR="007E7553" w:rsidRPr="007E7553" w:rsidRDefault="007E7553" w:rsidP="007E7553">
      <w:pPr>
        <w:ind w:left="567"/>
        <w:jc w:val="both"/>
        <w:rPr>
          <w:rFonts w:ascii="Times New Roman" w:hAnsi="Times New Roman"/>
          <w:color w:val="000000"/>
          <w:sz w:val="22"/>
          <w:szCs w:val="22"/>
        </w:rPr>
      </w:pPr>
      <w:r w:rsidRPr="007E7553">
        <w:rPr>
          <w:rFonts w:ascii="Times New Roman" w:hAnsi="Times New Roman"/>
          <w:color w:val="000000"/>
          <w:sz w:val="22"/>
          <w:szCs w:val="22"/>
        </w:rPr>
        <w:t>The Contractor shall, in performing the Contract, comply with all applicable national laws.</w:t>
      </w:r>
    </w:p>
    <w:p w14:paraId="569D7042" w14:textId="77777777" w:rsidR="007E7553" w:rsidRPr="007E7553" w:rsidRDefault="007E7553" w:rsidP="007E7553">
      <w:pPr>
        <w:ind w:left="567"/>
        <w:jc w:val="both"/>
        <w:rPr>
          <w:rFonts w:ascii="Times New Roman" w:hAnsi="Times New Roman"/>
          <w:color w:val="000000"/>
          <w:sz w:val="22"/>
          <w:szCs w:val="22"/>
        </w:rPr>
      </w:pPr>
      <w:r w:rsidRPr="007E7553">
        <w:rPr>
          <w:rFonts w:ascii="Times New Roman" w:hAnsi="Times New Roman"/>
          <w:color w:val="000000"/>
          <w:sz w:val="22"/>
          <w:szCs w:val="22"/>
        </w:rPr>
        <w:t>The Contractor shall pay all taxes, duties and fees, and obtain all permits that may be required by the national authorities, licenses and approvals, as required by the laws of Serbia in relation to the contract. The Contractor is responsible to become timely acquainted with any relevant legal provisions in force in Serbia, including those that may be required by the different national competent authorities for import, permitting, or customs clearance of the goods so as to avoid any associated delays during the implementation period. The Contractor shall indemnify and hold the Contracting Authority harmless from consequences of failure to do so or from eventual delays.</w:t>
      </w:r>
    </w:p>
    <w:p w14:paraId="171A22E9" w14:textId="77777777" w:rsidR="007E7553" w:rsidRDefault="007E7553" w:rsidP="007E7553">
      <w:pPr>
        <w:ind w:left="567"/>
        <w:jc w:val="both"/>
        <w:rPr>
          <w:rFonts w:ascii="Times New Roman" w:hAnsi="Times New Roman"/>
          <w:sz w:val="22"/>
          <w:szCs w:val="22"/>
        </w:rPr>
      </w:pPr>
      <w:r w:rsidRPr="007E7553">
        <w:rPr>
          <w:rFonts w:ascii="Times New Roman" w:hAnsi="Times New Roman"/>
          <w:color w:val="000000"/>
          <w:sz w:val="22"/>
          <w:szCs w:val="22"/>
        </w:rPr>
        <w:t>The Contractor shall, within two weeks from the signature of the contract by both parties, contact the Contracting</w:t>
      </w:r>
      <w:r w:rsidRPr="00E11246">
        <w:rPr>
          <w:rFonts w:ascii="Times New Roman" w:hAnsi="Times New Roman"/>
          <w:sz w:val="22"/>
          <w:szCs w:val="22"/>
        </w:rPr>
        <w:t xml:space="preserve"> Authority in order to receive information about the VAT exemption, and/or taxes of equivalent effect, stamp or registration duties or any other charge having equivalent effect and the Customs procedures.</w:t>
      </w:r>
    </w:p>
    <w:p w14:paraId="6797F7C0" w14:textId="036A10FB" w:rsidR="00E0396B" w:rsidRPr="003D6B6C" w:rsidRDefault="00E0396B" w:rsidP="007E7553">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69876FB2" w:rsidR="00E0396B" w:rsidRPr="003D6B6C"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7E7553" w:rsidRPr="004E0067">
        <w:rPr>
          <w:rFonts w:ascii="Times New Roman" w:hAnsi="Times New Roman"/>
          <w:color w:val="000000"/>
          <w:sz w:val="22"/>
          <w:szCs w:val="22"/>
        </w:rPr>
        <w:t xml:space="preserve">Contractor have to comply with the rules lay down in the Communication and Visibility Manual for EU External Actions published on the  website of DG International Cooperation and Development </w:t>
      </w:r>
      <w:hyperlink r:id="rId11" w:history="1">
        <w:r w:rsidR="007E7553" w:rsidRPr="007230B8">
          <w:rPr>
            <w:rStyle w:val="Hyperlink"/>
            <w:rFonts w:ascii="Times New Roman" w:hAnsi="Times New Roman"/>
            <w:sz w:val="22"/>
            <w:szCs w:val="22"/>
          </w:rPr>
          <w:t>https://ec.europa.eu/international-partnerships/comm-visibility-requirements_en</w:t>
        </w:r>
      </w:hyperlink>
      <w:r w:rsidR="007E7553" w:rsidRPr="004E0067">
        <w:rPr>
          <w:rStyle w:val="Hyperlink"/>
          <w:rFonts w:ascii="Times New Roman" w:hAnsi="Times New Roman"/>
          <w:color w:val="000000"/>
          <w:sz w:val="22"/>
          <w:szCs w:val="22"/>
          <w:u w:val="none"/>
        </w:rPr>
        <w:t xml:space="preserve"> </w:t>
      </w:r>
      <w:r w:rsidR="007E7553" w:rsidRPr="004E0067">
        <w:rPr>
          <w:rFonts w:ascii="Times New Roman" w:hAnsi="Times New Roman"/>
          <w:color w:val="000000"/>
          <w:sz w:val="22"/>
          <w:szCs w:val="22"/>
        </w:rPr>
        <w:t xml:space="preserve"> </w:t>
      </w:r>
      <w:r w:rsidR="007E7553">
        <w:rPr>
          <w:rFonts w:ascii="Times New Roman" w:hAnsi="Times New Roman"/>
          <w:color w:val="000000"/>
          <w:sz w:val="22"/>
          <w:szCs w:val="22"/>
        </w:rPr>
        <w:t xml:space="preserve">with the </w:t>
      </w:r>
      <w:r w:rsidR="007E7553" w:rsidRPr="004E0067">
        <w:rPr>
          <w:rFonts w:ascii="Times New Roman" w:hAnsi="Times New Roman"/>
          <w:color w:val="000000"/>
          <w:sz w:val="22"/>
          <w:szCs w:val="22"/>
        </w:rPr>
        <w:t>specific rules of visibility in INTERREG Bulgaria-Serbia Manual</w:t>
      </w:r>
      <w:r w:rsidR="007E7553">
        <w:rPr>
          <w:rFonts w:ascii="Times New Roman" w:hAnsi="Times New Roman"/>
          <w:color w:val="000000"/>
          <w:sz w:val="22"/>
          <w:szCs w:val="22"/>
        </w:rPr>
        <w:t xml:space="preserve"> </w:t>
      </w:r>
      <w:hyperlink r:id="rId12" w:history="1">
        <w:r w:rsidR="007E7553" w:rsidRPr="00EC2659">
          <w:rPr>
            <w:rStyle w:val="Hyperlink"/>
            <w:rFonts w:ascii="Times New Roman" w:hAnsi="Times New Roman"/>
            <w:sz w:val="22"/>
            <w:szCs w:val="22"/>
          </w:rPr>
          <w:t>http://</w:t>
        </w:r>
        <w:r w:rsidR="007E7553" w:rsidRPr="00EC2659">
          <w:rPr>
            <w:rStyle w:val="Hyperlink"/>
            <w:rFonts w:ascii="Times New Roman" w:hAnsi="Times New Roman"/>
            <w:sz w:val="22"/>
            <w:szCs w:val="22"/>
          </w:rPr>
          <w:t>w</w:t>
        </w:r>
        <w:r w:rsidR="007E7553" w:rsidRPr="00EC2659">
          <w:rPr>
            <w:rStyle w:val="Hyperlink"/>
            <w:rFonts w:ascii="Times New Roman" w:hAnsi="Times New Roman"/>
            <w:sz w:val="22"/>
            <w:szCs w:val="22"/>
          </w:rPr>
          <w:t>ww.ipacbc-bgrs.eu/sites/ipacbc-bgrs-105.gateway.bg/files/pim_v.4.rar</w:t>
        </w:r>
      </w:hyperlink>
      <w:r w:rsidR="007E7553">
        <w:rPr>
          <w:rFonts w:ascii="Times New Roman" w:hAnsi="Times New Roman"/>
          <w:color w:val="000000"/>
          <w:sz w:val="22"/>
          <w:szCs w:val="22"/>
        </w:rPr>
        <w:t xml:space="preserve"> </w:t>
      </w:r>
      <w:r w:rsidR="007E7553" w:rsidRPr="00B6261C">
        <w:rPr>
          <w:rFonts w:ascii="Times New Roman" w:hAnsi="Times New Roman"/>
          <w:color w:val="000000"/>
          <w:sz w:val="22"/>
          <w:szCs w:val="22"/>
        </w:rPr>
        <w:t xml:space="preserve">Annex 10 </w:t>
      </w:r>
      <w:r w:rsidR="007E7553">
        <w:rPr>
          <w:rFonts w:ascii="Times New Roman" w:hAnsi="Times New Roman"/>
          <w:color w:val="000000"/>
          <w:sz w:val="22"/>
          <w:szCs w:val="22"/>
        </w:rPr>
        <w:t xml:space="preserve">- </w:t>
      </w:r>
      <w:r w:rsidR="007E7553" w:rsidRPr="00B6261C">
        <w:rPr>
          <w:rFonts w:ascii="Times New Roman" w:hAnsi="Times New Roman"/>
          <w:color w:val="000000"/>
          <w:sz w:val="22"/>
          <w:szCs w:val="22"/>
        </w:rPr>
        <w:t>Communication and Visibility Guidelines 2014-2020</w:t>
      </w:r>
      <w:r w:rsidR="007E7553">
        <w:rPr>
          <w:rFonts w:ascii="Times New Roman" w:hAnsi="Times New Roman"/>
          <w:color w:val="000000"/>
          <w:sz w:val="22"/>
          <w:szCs w:val="22"/>
        </w:rPr>
        <w:t>.</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508FBA51" w14:textId="77777777" w:rsidR="007E7553" w:rsidRDefault="0047783A" w:rsidP="007E7553">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bookmarkStart w:id="6" w:name="_Toc124934901"/>
      <w:r w:rsidR="007E7553" w:rsidRPr="003D6B6C">
        <w:rPr>
          <w:rFonts w:ascii="Times New Roman" w:hAnsi="Times New Roman"/>
          <w:sz w:val="22"/>
          <w:szCs w:val="22"/>
          <w:lang w:val="en-GB"/>
        </w:rPr>
        <w:t>All</w:t>
      </w:r>
      <w:r w:rsidR="007E7553">
        <w:rPr>
          <w:rFonts w:ascii="Times New Roman" w:hAnsi="Times New Roman"/>
          <w:sz w:val="22"/>
          <w:szCs w:val="22"/>
          <w:lang w:val="en-GB"/>
        </w:rPr>
        <w:t xml:space="preserve"> </w:t>
      </w:r>
      <w:r w:rsidR="007E7553" w:rsidRPr="00BA107C">
        <w:rPr>
          <w:rFonts w:ascii="Times New Roman" w:hAnsi="Times New Roman"/>
          <w:sz w:val="22"/>
          <w:szCs w:val="22"/>
          <w:lang w:val="en-GB"/>
        </w:rPr>
        <w:t xml:space="preserve">goods purchased must originate in a Member State of the European Union or a country covered by the Interreg-IPA II CBC Bulgaria - Serbia Programme, CCI Number: CCI 2014TC16I5CB007 programme. </w:t>
      </w:r>
      <w:r w:rsidR="007E7553" w:rsidRPr="003D6B6C">
        <w:rPr>
          <w:rFonts w:ascii="Times New Roman" w:hAnsi="Times New Roman"/>
          <w:sz w:val="22"/>
          <w:szCs w:val="22"/>
          <w:lang w:val="en-GB"/>
        </w:rPr>
        <w:t>For these purposes, ‘origin’ means the place where the goods are mined, grown, produced or manufactured</w:t>
      </w:r>
      <w:r w:rsidR="007E7553">
        <w:rPr>
          <w:rFonts w:ascii="Times New Roman" w:hAnsi="Times New Roman"/>
          <w:sz w:val="22"/>
          <w:szCs w:val="22"/>
          <w:lang w:val="en-GB"/>
        </w:rPr>
        <w:t>.</w:t>
      </w:r>
      <w:r w:rsidR="007E7553" w:rsidRPr="003D6B6C">
        <w:rPr>
          <w:rFonts w:ascii="Times New Roman" w:hAnsi="Times New Roman"/>
          <w:sz w:val="22"/>
          <w:szCs w:val="22"/>
          <w:lang w:val="en-GB"/>
        </w:rPr>
        <w:t xml:space="preserve"> The origin of the goods must be determined according to the EU Customs Code or to the relevant international agreement applicable.</w:t>
      </w:r>
    </w:p>
    <w:p w14:paraId="08F8112F" w14:textId="34EBA405" w:rsidR="0047783A" w:rsidRPr="003D6B6C" w:rsidRDefault="0047783A" w:rsidP="007E7553">
      <w:pPr>
        <w:pStyle w:val="Heading2"/>
        <w:keepNext w:val="0"/>
        <w:numPr>
          <w:ilvl w:val="1"/>
          <w:numId w:val="0"/>
        </w:numPr>
        <w:jc w:val="both"/>
        <w:rPr>
          <w:rFonts w:ascii="Times New Roman" w:hAnsi="Times New Roman"/>
          <w:b/>
          <w:sz w:val="24"/>
          <w:szCs w:val="24"/>
        </w:rPr>
      </w:pPr>
      <w:r w:rsidRPr="003D6B6C">
        <w:rPr>
          <w:rFonts w:ascii="Times New Roman" w:hAnsi="Times New Roman"/>
          <w:b/>
          <w:sz w:val="24"/>
          <w:szCs w:val="24"/>
        </w:rPr>
        <w:t>Article 11</w:t>
      </w:r>
      <w:r w:rsidRPr="003D6B6C">
        <w:rPr>
          <w:rFonts w:ascii="Times New Roman" w:hAnsi="Times New Roman"/>
          <w:b/>
          <w:sz w:val="24"/>
          <w:szCs w:val="24"/>
        </w:rPr>
        <w:tab/>
        <w:t xml:space="preserve">Performance </w:t>
      </w:r>
      <w:proofErr w:type="spellStart"/>
      <w:r w:rsidRPr="003D6B6C">
        <w:rPr>
          <w:rFonts w:ascii="Times New Roman" w:hAnsi="Times New Roman"/>
          <w:b/>
          <w:sz w:val="24"/>
          <w:szCs w:val="24"/>
        </w:rPr>
        <w:t>guarantee</w:t>
      </w:r>
      <w:bookmarkEnd w:id="6"/>
      <w:proofErr w:type="spellEnd"/>
    </w:p>
    <w:p w14:paraId="4A184E33" w14:textId="77777777" w:rsidR="007E7553" w:rsidRDefault="00F355C1" w:rsidP="007E7553">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bookmarkStart w:id="7" w:name="_Toc124934902"/>
      <w:r w:rsidR="007E7553" w:rsidRPr="000B33BF">
        <w:rPr>
          <w:rFonts w:ascii="Times New Roman" w:hAnsi="Times New Roman"/>
          <w:sz w:val="22"/>
          <w:szCs w:val="22"/>
        </w:rPr>
        <w:t>The amount of the performance guarantee shall be 5% of the total contract price, including any amounts stipulated in addenda to the contract.</w:t>
      </w:r>
    </w:p>
    <w:p w14:paraId="7E65A926" w14:textId="76E1A8DE" w:rsidR="0047783A" w:rsidRPr="003D6B6C" w:rsidRDefault="0047783A" w:rsidP="007E7553">
      <w:pPr>
        <w:jc w:val="both"/>
        <w:rPr>
          <w:rFonts w:ascii="Times New Roman" w:hAnsi="Times New Roman"/>
          <w:b/>
          <w:sz w:val="24"/>
          <w:szCs w:val="24"/>
        </w:rPr>
      </w:pPr>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1D170F84" w14:textId="62EDBC35" w:rsidR="0049293D" w:rsidRDefault="004D33C9" w:rsidP="003D6B6C">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007E7553" w:rsidRPr="004E0067">
        <w:rPr>
          <w:rFonts w:ascii="Times New Roman" w:hAnsi="Times New Roman"/>
          <w:color w:val="000000"/>
          <w:sz w:val="22"/>
          <w:szCs w:val="22"/>
        </w:rPr>
        <w:t>No derogation from the General Conditions.</w:t>
      </w:r>
    </w:p>
    <w:p w14:paraId="24B75441" w14:textId="7E84EABF" w:rsidR="0049293D" w:rsidRDefault="004D33C9" w:rsidP="003D6B6C">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w:t>
      </w:r>
      <w:r w:rsidR="003D6B6C">
        <w:rPr>
          <w:rFonts w:ascii="Times New Roman" w:hAnsi="Times New Roman"/>
          <w:sz w:val="22"/>
          <w:szCs w:val="22"/>
        </w:rPr>
        <w:t>1</w:t>
      </w:r>
      <w:r w:rsidR="001020D9">
        <w:rPr>
          <w:rFonts w:ascii="Times New Roman" w:hAnsi="Times New Roman"/>
          <w:sz w:val="22"/>
          <w:szCs w:val="22"/>
        </w:rPr>
        <w:t>(</w:t>
      </w:r>
      <w:r w:rsidRPr="003D6B6C">
        <w:rPr>
          <w:rFonts w:ascii="Times New Roman" w:hAnsi="Times New Roman"/>
          <w:sz w:val="22"/>
          <w:szCs w:val="22"/>
        </w:rPr>
        <w:t>b)</w:t>
      </w:r>
      <w:r w:rsidR="003D6B6C">
        <w:rPr>
          <w:rFonts w:ascii="Times New Roman" w:hAnsi="Times New Roman"/>
          <w:sz w:val="22"/>
          <w:szCs w:val="22"/>
        </w:rPr>
        <w:tab/>
      </w:r>
      <w:r w:rsidR="007E7553" w:rsidRPr="004E0067">
        <w:rPr>
          <w:rFonts w:ascii="Times New Roman" w:hAnsi="Times New Roman"/>
          <w:color w:val="000000"/>
          <w:sz w:val="22"/>
          <w:szCs w:val="22"/>
        </w:rPr>
        <w:t>No derogation from the General Conditions.</w:t>
      </w:r>
    </w:p>
    <w:p w14:paraId="7ADE6D58" w14:textId="77777777" w:rsidR="007E7553" w:rsidRPr="004E0067" w:rsidRDefault="007E7553" w:rsidP="007E7553">
      <w:pPr>
        <w:pStyle w:val="Default"/>
        <w:ind w:left="426"/>
        <w:jc w:val="both"/>
        <w:rPr>
          <w:sz w:val="22"/>
          <w:szCs w:val="22"/>
        </w:rPr>
      </w:pPr>
      <w:bookmarkStart w:id="8" w:name="_Toc124934903"/>
      <w:r w:rsidRPr="004E0067">
        <w:rPr>
          <w:sz w:val="22"/>
          <w:szCs w:val="22"/>
        </w:rPr>
        <w:t>There is no requirement for insurance. The Contractor will assume full responsibility for the supply, delivery, unloading, and maintenance of the supplies until the final acceptance</w:t>
      </w:r>
    </w:p>
    <w:p w14:paraId="4215C965" w14:textId="77777777" w:rsidR="007E7553" w:rsidRPr="004E0067" w:rsidRDefault="007E7553" w:rsidP="007E7553">
      <w:pPr>
        <w:ind w:left="426"/>
        <w:jc w:val="both"/>
        <w:rPr>
          <w:rFonts w:ascii="Times New Roman" w:hAnsi="Times New Roman"/>
          <w:bCs/>
          <w:color w:val="000000"/>
          <w:sz w:val="22"/>
          <w:szCs w:val="22"/>
        </w:rPr>
      </w:pPr>
      <w:r w:rsidRPr="004E0067">
        <w:rPr>
          <w:rFonts w:ascii="Times New Roman" w:hAnsi="Times New Roman"/>
          <w:bCs/>
          <w:color w:val="000000"/>
          <w:sz w:val="22"/>
          <w:szCs w:val="22"/>
        </w:rPr>
        <w:t>All insurance costs including transportation will be borne by the contractor until the provisional acceptance without prejudice to article 29.7 of the General Conditions.</w:t>
      </w:r>
    </w:p>
    <w:p w14:paraId="58DC0E6B" w14:textId="77777777" w:rsidR="007E7553" w:rsidRPr="004E0067" w:rsidRDefault="007E7553" w:rsidP="007E7553">
      <w:pPr>
        <w:ind w:left="426"/>
        <w:jc w:val="both"/>
        <w:rPr>
          <w:rFonts w:ascii="Times New Roman" w:hAnsi="Times New Roman"/>
          <w:bCs/>
          <w:color w:val="000000"/>
          <w:sz w:val="22"/>
          <w:szCs w:val="22"/>
        </w:rPr>
      </w:pPr>
      <w:r w:rsidRPr="004E0067">
        <w:rPr>
          <w:rFonts w:ascii="Times New Roman" w:hAnsi="Times New Roman"/>
          <w:bCs/>
          <w:color w:val="000000"/>
          <w:sz w:val="22"/>
          <w:szCs w:val="22"/>
        </w:rPr>
        <w:lastRenderedPageBreak/>
        <w:t>The Contractor shall bear all risks at full replacement value and associated expenses until provisional acceptance is agreed and certified. The supplies must be covered by all types of insurance cover (carriage, damage, theft, third party liability, etc.) until the issuance of the provisional acceptance.</w:t>
      </w:r>
    </w:p>
    <w:p w14:paraId="0D21F9D6" w14:textId="77777777" w:rsidR="007E7553" w:rsidRPr="004E0067" w:rsidRDefault="007E7553" w:rsidP="007E7553">
      <w:pPr>
        <w:ind w:left="426"/>
        <w:jc w:val="both"/>
        <w:rPr>
          <w:rFonts w:ascii="Times New Roman" w:hAnsi="Times New Roman"/>
          <w:bCs/>
          <w:color w:val="000000"/>
          <w:sz w:val="22"/>
          <w:szCs w:val="22"/>
        </w:rPr>
      </w:pPr>
      <w:r w:rsidRPr="004E0067">
        <w:rPr>
          <w:rFonts w:ascii="Times New Roman" w:hAnsi="Times New Roman"/>
          <w:bCs/>
          <w:color w:val="000000"/>
          <w:sz w:val="22"/>
          <w:szCs w:val="22"/>
        </w:rPr>
        <w:t>In the case of use of Incoterms, the Contractor shall provide transport insurance to the extent that it assumes transportation risks. The question of the extent of the risks assumed by the Contractor (seller) depends in particular on the Incoterms used:</w:t>
      </w:r>
    </w:p>
    <w:p w14:paraId="6B7A4DD9" w14:textId="77777777" w:rsidR="007E7553" w:rsidRPr="004E0067" w:rsidRDefault="007E7553" w:rsidP="007E7553">
      <w:pPr>
        <w:ind w:left="426"/>
        <w:jc w:val="both"/>
        <w:rPr>
          <w:rFonts w:ascii="Times New Roman" w:hAnsi="Times New Roman"/>
          <w:bCs/>
          <w:color w:val="000000"/>
          <w:sz w:val="22"/>
          <w:szCs w:val="22"/>
        </w:rPr>
      </w:pPr>
      <w:r w:rsidRPr="004E0067">
        <w:rPr>
          <w:rFonts w:ascii="Times New Roman" w:hAnsi="Times New Roman"/>
          <w:bCs/>
          <w:color w:val="000000"/>
          <w:sz w:val="22"/>
          <w:szCs w:val="22"/>
        </w:rPr>
        <w:t>DDP - Delivered Duty Paid: Incoterm which imposes on the seller maximum obligations vis-à-vis transportation and loss risks and damage associated with the goods:</w:t>
      </w:r>
    </w:p>
    <w:p w14:paraId="4E096622" w14:textId="77777777" w:rsidR="007E7553" w:rsidRPr="004E0067" w:rsidRDefault="007E7553" w:rsidP="007E7553">
      <w:pPr>
        <w:pStyle w:val="Default"/>
        <w:ind w:left="1440"/>
        <w:jc w:val="both"/>
        <w:rPr>
          <w:sz w:val="22"/>
          <w:szCs w:val="22"/>
        </w:rPr>
      </w:pPr>
      <w:r w:rsidRPr="004E0067">
        <w:rPr>
          <w:bCs/>
          <w:i/>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4E0067">
        <w:rPr>
          <w:bCs/>
          <w:i/>
          <w:sz w:val="22"/>
          <w:szCs w:val="22"/>
        </w:rPr>
        <w:footnoteReference w:id="1"/>
      </w:r>
      <w:r w:rsidRPr="004E0067">
        <w:rPr>
          <w:bCs/>
          <w:i/>
          <w:sz w:val="22"/>
          <w:szCs w:val="22"/>
        </w:rPr>
        <w:t xml:space="preserve"> The transfer of risks and costs occurs at the place of unloading of the goods at the agreed place of 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8CCF8F0" w14:textId="48F935DB"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7E7553">
        <w:rPr>
          <w:rFonts w:ascii="Times New Roman" w:hAnsi="Times New Roman"/>
          <w:sz w:val="22"/>
          <w:szCs w:val="22"/>
        </w:rPr>
        <w:t xml:space="preserve">The equipment </w:t>
      </w:r>
      <w:r w:rsidR="007E7553" w:rsidRPr="00515370">
        <w:rPr>
          <w:rFonts w:ascii="Times New Roman" w:hAnsi="Times New Roman"/>
          <w:sz w:val="22"/>
          <w:szCs w:val="22"/>
        </w:rPr>
        <w:t xml:space="preserve">shall be delivered not later than </w:t>
      </w:r>
      <w:r w:rsidR="007E7553">
        <w:rPr>
          <w:rFonts w:ascii="Times New Roman" w:hAnsi="Times New Roman"/>
          <w:sz w:val="22"/>
          <w:szCs w:val="22"/>
        </w:rPr>
        <w:t>120 calendar</w:t>
      </w:r>
      <w:r w:rsidR="007E7553" w:rsidRPr="00515370">
        <w:rPr>
          <w:rFonts w:ascii="Times New Roman" w:hAnsi="Times New Roman"/>
          <w:sz w:val="22"/>
          <w:szCs w:val="22"/>
        </w:rPr>
        <w:t xml:space="preserve"> days from the </w:t>
      </w:r>
      <w:r w:rsidR="007E7553">
        <w:rPr>
          <w:rFonts w:ascii="Times New Roman" w:hAnsi="Times New Roman"/>
          <w:sz w:val="22"/>
          <w:szCs w:val="22"/>
        </w:rPr>
        <w:t>conclusion of the contract.</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9"/>
      <w:r w:rsidRPr="003D6B6C">
        <w:rPr>
          <w:rFonts w:ascii="Times New Roman" w:hAnsi="Times New Roman"/>
          <w:b/>
          <w:sz w:val="24"/>
          <w:szCs w:val="24"/>
        </w:rPr>
        <w:tab/>
      </w:r>
    </w:p>
    <w:p w14:paraId="4B4F2207" w14:textId="5676CDD2"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7E7553" w:rsidRPr="004E0067">
        <w:rPr>
          <w:rFonts w:ascii="Times New Roman" w:hAnsi="Times New Roman"/>
          <w:color w:val="000000"/>
          <w:sz w:val="22"/>
          <w:szCs w:val="22"/>
        </w:rPr>
        <w:t>The prices in the contract are fixed and not subject to any revision.</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0"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0"/>
      <w:r w:rsidR="00EB32E9" w:rsidRPr="003D6B6C">
        <w:rPr>
          <w:rFonts w:ascii="Times New Roman" w:hAnsi="Times New Roman"/>
          <w:b/>
          <w:sz w:val="24"/>
          <w:szCs w:val="24"/>
        </w:rPr>
        <w:t xml:space="preserve"> </w:t>
      </w:r>
    </w:p>
    <w:p w14:paraId="60BC5865" w14:textId="77777777" w:rsidR="00971311" w:rsidRDefault="0047783A" w:rsidP="00971311">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bookmarkStart w:id="11" w:name="_Toc124934908"/>
      <w:r w:rsidR="00971311" w:rsidRPr="00864FE5">
        <w:rPr>
          <w:rFonts w:ascii="Times New Roman" w:hAnsi="Times New Roman"/>
          <w:sz w:val="22"/>
          <w:szCs w:val="22"/>
        </w:rPr>
        <w:t>The implementation of the tasks shall start on the date of contract signature by both parties.</w:t>
      </w:r>
    </w:p>
    <w:p w14:paraId="40415148" w14:textId="34981221" w:rsidR="0047783A" w:rsidRPr="003D6B6C" w:rsidRDefault="0047783A" w:rsidP="00971311">
      <w:pPr>
        <w:jc w:val="both"/>
        <w:rPr>
          <w:rFonts w:ascii="Times New Roman" w:hAnsi="Times New Roman"/>
          <w:b/>
          <w:sz w:val="24"/>
          <w:szCs w:val="24"/>
        </w:rPr>
      </w:pPr>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1"/>
      <w:r w:rsidRPr="003D6B6C">
        <w:rPr>
          <w:rFonts w:ascii="Times New Roman" w:hAnsi="Times New Roman"/>
          <w:b/>
          <w:sz w:val="24"/>
          <w:szCs w:val="24"/>
        </w:rPr>
        <w:t xml:space="preserve"> of the tasks</w:t>
      </w:r>
    </w:p>
    <w:p w14:paraId="24D80EC0" w14:textId="17D672F5"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971311" w:rsidRPr="004E0067">
        <w:rPr>
          <w:rFonts w:ascii="Times New Roman" w:hAnsi="Times New Roman"/>
          <w:bCs/>
          <w:color w:val="000000"/>
          <w:sz w:val="22"/>
          <w:szCs w:val="22"/>
        </w:rPr>
        <w:t xml:space="preserve">Implementation period of the tasks is </w:t>
      </w:r>
      <w:r w:rsidR="00971311" w:rsidRPr="001A4AE1">
        <w:rPr>
          <w:rFonts w:ascii="Times New Roman" w:hAnsi="Times New Roman"/>
          <w:bCs/>
          <w:color w:val="000000"/>
          <w:sz w:val="22"/>
          <w:szCs w:val="22"/>
        </w:rPr>
        <w:t>120 calendar</w:t>
      </w:r>
      <w:r w:rsidR="00971311" w:rsidRPr="004E0067">
        <w:rPr>
          <w:rFonts w:ascii="Times New Roman" w:hAnsi="Times New Roman"/>
          <w:bCs/>
          <w:color w:val="000000"/>
          <w:sz w:val="22"/>
          <w:szCs w:val="22"/>
        </w:rPr>
        <w:t xml:space="preserve"> days in relation to the date stipulated in the previous article</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2"/>
    </w:p>
    <w:p w14:paraId="0506BF5F" w14:textId="42E6AB80"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971311" w:rsidRPr="004E0067">
        <w:rPr>
          <w:rFonts w:ascii="Times New Roman" w:hAnsi="Times New Roman"/>
          <w:color w:val="000000"/>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3"/>
    </w:p>
    <w:p w14:paraId="64178ACF" w14:textId="0174D53A"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971311" w:rsidRPr="00992F73">
        <w:rPr>
          <w:rFonts w:ascii="Times New Roman" w:hAnsi="Times New Roman"/>
          <w:bCs/>
          <w:sz w:val="22"/>
          <w:szCs w:val="22"/>
        </w:rPr>
        <w:t>G</w:t>
      </w:r>
      <w:r w:rsidR="00971311" w:rsidRPr="00992F73">
        <w:rPr>
          <w:rFonts w:ascii="Times New Roman" w:hAnsi="Times New Roman"/>
          <w:sz w:val="22"/>
          <w:szCs w:val="22"/>
        </w:rPr>
        <w:t xml:space="preserve">oods will be inspected and tasted at </w:t>
      </w:r>
      <w:r w:rsidR="00971311">
        <w:rPr>
          <w:rFonts w:ascii="Times New Roman" w:hAnsi="Times New Roman"/>
          <w:sz w:val="22"/>
          <w:szCs w:val="22"/>
        </w:rPr>
        <w:t xml:space="preserve">Municipality of </w:t>
      </w:r>
      <w:proofErr w:type="spellStart"/>
      <w:r w:rsidR="00971311">
        <w:rPr>
          <w:rFonts w:ascii="Times New Roman" w:hAnsi="Times New Roman"/>
          <w:sz w:val="22"/>
          <w:szCs w:val="22"/>
        </w:rPr>
        <w:t>Merosina</w:t>
      </w:r>
      <w:proofErr w:type="spellEnd"/>
      <w:r w:rsidR="00971311" w:rsidRPr="00992F73">
        <w:rPr>
          <w:rFonts w:ascii="Times New Roman" w:hAnsi="Times New Roman"/>
          <w:sz w:val="22"/>
          <w:szCs w:val="22"/>
        </w:rPr>
        <w:t xml:space="preserve"> in accordance with Article 25 of the general conditions and the practical arrangements for testing</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4"/>
      <w:r w:rsidR="005B0129" w:rsidRPr="003D6B6C">
        <w:rPr>
          <w:rFonts w:ascii="Times New Roman" w:hAnsi="Times New Roman"/>
          <w:b/>
          <w:sz w:val="24"/>
          <w:szCs w:val="24"/>
        </w:rPr>
        <w:t>General principles for payments</w:t>
      </w:r>
    </w:p>
    <w:p w14:paraId="354EB398" w14:textId="77777777" w:rsidR="00971311" w:rsidRPr="00132326" w:rsidRDefault="0047783A" w:rsidP="00971311">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lastRenderedPageBreak/>
        <w:t>26.1</w:t>
      </w:r>
      <w:r w:rsidRPr="003D6B6C">
        <w:rPr>
          <w:rFonts w:ascii="Times New Roman" w:hAnsi="Times New Roman"/>
          <w:sz w:val="22"/>
          <w:szCs w:val="22"/>
        </w:rPr>
        <w:tab/>
      </w:r>
      <w:r w:rsidR="00971311" w:rsidRPr="00132326">
        <w:rPr>
          <w:rFonts w:ascii="Times New Roman" w:hAnsi="Times New Roman"/>
          <w:sz w:val="22"/>
          <w:szCs w:val="22"/>
        </w:rPr>
        <w:t>Payments shall be made in euro for the companies registered outside Serbia and RSD for companies registered in Serbia</w:t>
      </w:r>
    </w:p>
    <w:p w14:paraId="274CA4FD" w14:textId="77777777" w:rsidR="00971311" w:rsidRPr="00992F73" w:rsidRDefault="00971311" w:rsidP="00971311">
      <w:pPr>
        <w:tabs>
          <w:tab w:val="right" w:pos="9885"/>
        </w:tabs>
        <w:ind w:left="1134" w:hanging="709"/>
        <w:jc w:val="both"/>
        <w:rPr>
          <w:rFonts w:ascii="Times New Roman" w:hAnsi="Times New Roman"/>
          <w:sz w:val="22"/>
          <w:szCs w:val="22"/>
        </w:rPr>
      </w:pPr>
      <w:r>
        <w:rPr>
          <w:rFonts w:ascii="Times New Roman" w:hAnsi="Times New Roman"/>
          <w:sz w:val="22"/>
          <w:szCs w:val="22"/>
        </w:rPr>
        <w:tab/>
      </w:r>
      <w:r w:rsidRPr="00132326">
        <w:rPr>
          <w:rFonts w:ascii="Times New Roman" w:hAnsi="Times New Roman"/>
          <w:sz w:val="22"/>
          <w:szCs w:val="22"/>
        </w:rPr>
        <w:t xml:space="preserve">In case the contract is concluded in EURO, and payments are made in </w:t>
      </w:r>
      <w:proofErr w:type="gramStart"/>
      <w:r w:rsidRPr="00132326">
        <w:rPr>
          <w:rFonts w:ascii="Times New Roman" w:hAnsi="Times New Roman"/>
          <w:sz w:val="22"/>
          <w:szCs w:val="22"/>
        </w:rPr>
        <w:t>national  currencies</w:t>
      </w:r>
      <w:proofErr w:type="gramEnd"/>
      <w:r w:rsidRPr="00132326">
        <w:rPr>
          <w:rFonts w:ascii="Times New Roman" w:hAnsi="Times New Roman"/>
          <w:sz w:val="22"/>
          <w:szCs w:val="22"/>
        </w:rPr>
        <w:t xml:space="preserve">, applicable exchange rate must be </w:t>
      </w:r>
      <w:proofErr w:type="spellStart"/>
      <w:r w:rsidRPr="00132326">
        <w:rPr>
          <w:rFonts w:ascii="Times New Roman" w:hAnsi="Times New Roman"/>
          <w:sz w:val="22"/>
          <w:szCs w:val="22"/>
        </w:rPr>
        <w:t>InforEuro</w:t>
      </w:r>
      <w:proofErr w:type="spellEnd"/>
      <w:r w:rsidRPr="00132326">
        <w:rPr>
          <w:rFonts w:ascii="Times New Roman" w:hAnsi="Times New Roman"/>
          <w:sz w:val="22"/>
          <w:szCs w:val="22"/>
        </w:rPr>
        <w:t xml:space="preserve"> exchange rate valid on the month of</w:t>
      </w:r>
      <w:r>
        <w:rPr>
          <w:rFonts w:ascii="Times New Roman" w:hAnsi="Times New Roman"/>
          <w:sz w:val="22"/>
          <w:szCs w:val="22"/>
        </w:rPr>
        <w:t xml:space="preserve"> issuing of invoice or proforma invoice in case of VAT exemption</w:t>
      </w:r>
    </w:p>
    <w:p w14:paraId="09CCCA2B" w14:textId="7B8FD7B9" w:rsidR="0047783A" w:rsidRPr="003D6B6C" w:rsidRDefault="00971311" w:rsidP="00971311">
      <w:pPr>
        <w:ind w:left="1134"/>
        <w:jc w:val="both"/>
        <w:rPr>
          <w:rFonts w:ascii="Times New Roman" w:hAnsi="Times New Roman"/>
          <w:sz w:val="22"/>
          <w:szCs w:val="22"/>
        </w:rPr>
      </w:pPr>
      <w:r w:rsidRPr="003D6B6C">
        <w:rPr>
          <w:rFonts w:ascii="Times New Roman" w:hAnsi="Times New Roman"/>
          <w:sz w:val="22"/>
          <w:szCs w:val="22"/>
        </w:rPr>
        <w:t xml:space="preserve">Payments shall be authorised and made by </w:t>
      </w:r>
      <w:r>
        <w:rPr>
          <w:rFonts w:ascii="Times New Roman" w:hAnsi="Times New Roman"/>
          <w:sz w:val="22"/>
          <w:szCs w:val="22"/>
        </w:rPr>
        <w:t xml:space="preserve">Municipality of </w:t>
      </w:r>
      <w:proofErr w:type="spellStart"/>
      <w:r>
        <w:rPr>
          <w:rFonts w:ascii="Times New Roman" w:hAnsi="Times New Roman"/>
          <w:sz w:val="22"/>
          <w:szCs w:val="22"/>
        </w:rPr>
        <w:t>Merosina</w:t>
      </w:r>
      <w:proofErr w:type="spellEnd"/>
      <w:r w:rsidRPr="00992F73">
        <w:rPr>
          <w:rFonts w:ascii="Times New Roman" w:hAnsi="Times New Roman"/>
          <w:sz w:val="22"/>
          <w:szCs w:val="22"/>
        </w:rPr>
        <w:t xml:space="preserve">, financial department, </w:t>
      </w:r>
      <w:r>
        <w:rPr>
          <w:rFonts w:ascii="Times New Roman" w:hAnsi="Times New Roman"/>
          <w:sz w:val="22"/>
          <w:szCs w:val="22"/>
        </w:rPr>
        <w:t xml:space="preserve">Cara </w:t>
      </w:r>
      <w:proofErr w:type="spellStart"/>
      <w:r>
        <w:rPr>
          <w:rFonts w:ascii="Times New Roman" w:hAnsi="Times New Roman"/>
          <w:sz w:val="22"/>
          <w:szCs w:val="22"/>
        </w:rPr>
        <w:t>Lazara</w:t>
      </w:r>
      <w:proofErr w:type="spellEnd"/>
      <w:r>
        <w:rPr>
          <w:rFonts w:ascii="Times New Roman" w:hAnsi="Times New Roman"/>
          <w:sz w:val="22"/>
          <w:szCs w:val="22"/>
        </w:rPr>
        <w:t xml:space="preserve"> 17, </w:t>
      </w:r>
      <w:proofErr w:type="spellStart"/>
      <w:r>
        <w:rPr>
          <w:rFonts w:ascii="Times New Roman" w:hAnsi="Times New Roman"/>
          <w:sz w:val="22"/>
          <w:szCs w:val="22"/>
        </w:rPr>
        <w:t>Merosina</w:t>
      </w:r>
      <w:proofErr w:type="spellEnd"/>
      <w:r w:rsidRPr="00992F73">
        <w:rPr>
          <w:rFonts w:ascii="Times New Roman" w:hAnsi="Times New Roman"/>
          <w:sz w:val="22"/>
          <w:szCs w:val="22"/>
        </w:rPr>
        <w:t>.</w:t>
      </w:r>
    </w:p>
    <w:p w14:paraId="18AC99E9" w14:textId="77777777" w:rsidR="00971311" w:rsidRDefault="006D5CEE" w:rsidP="00971311">
      <w:pPr>
        <w:ind w:left="1134" w:hanging="709"/>
        <w:jc w:val="both"/>
        <w:rPr>
          <w:rFonts w:ascii="Times New Roman" w:hAnsi="Times New Roman"/>
          <w:color w:val="000000"/>
          <w:sz w:val="22"/>
          <w:szCs w:val="22"/>
        </w:rPr>
      </w:pPr>
      <w:r w:rsidRPr="003D6B6C">
        <w:rPr>
          <w:rFonts w:ascii="Times New Roman" w:hAnsi="Times New Roman"/>
          <w:sz w:val="22"/>
          <w:szCs w:val="22"/>
        </w:rPr>
        <w:t>26.3</w:t>
      </w:r>
      <w:r w:rsidRPr="003D6B6C">
        <w:rPr>
          <w:rFonts w:ascii="Times New Roman" w:hAnsi="Times New Roman"/>
          <w:sz w:val="22"/>
          <w:szCs w:val="22"/>
        </w:rPr>
        <w:tab/>
      </w:r>
      <w:r w:rsidR="00971311" w:rsidRPr="004E0067">
        <w:rPr>
          <w:rFonts w:ascii="Times New Roman" w:hAnsi="Times New Roman"/>
          <w:color w:val="000000"/>
          <w:sz w:val="22"/>
          <w:szCs w:val="22"/>
        </w:rPr>
        <w:t>By derogation, the final payment to the contractor of the amounts due shall be made within 90 days after receipt by the contracting authority of an invoice and of the application for the certificate of provisional acceptance.</w:t>
      </w:r>
    </w:p>
    <w:p w14:paraId="66F15ADD" w14:textId="77777777" w:rsidR="00971311" w:rsidRDefault="00E87734" w:rsidP="00971311">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r>
      <w:r w:rsidR="00971311" w:rsidRPr="003D6B6C">
        <w:rPr>
          <w:rFonts w:ascii="Times New Roman" w:hAnsi="Times New Roman"/>
          <w:sz w:val="22"/>
          <w:szCs w:val="22"/>
        </w:rPr>
        <w:t>In order to obtain payments, the Contractor must forward to the authority referred to in paragraph 26.1 above:</w:t>
      </w:r>
    </w:p>
    <w:p w14:paraId="5437BE34" w14:textId="77777777" w:rsidR="00971311" w:rsidRPr="006B7E77" w:rsidRDefault="00971311" w:rsidP="00971311">
      <w:pPr>
        <w:numPr>
          <w:ilvl w:val="0"/>
          <w:numId w:val="26"/>
        </w:numPr>
        <w:spacing w:after="0"/>
        <w:jc w:val="both"/>
        <w:rPr>
          <w:rFonts w:ascii="Times New Roman" w:hAnsi="Times New Roman"/>
          <w:sz w:val="22"/>
          <w:szCs w:val="22"/>
        </w:rPr>
      </w:pPr>
      <w:r w:rsidRPr="003D6B6C">
        <w:rPr>
          <w:rFonts w:ascii="Times New Roman" w:hAnsi="Times New Roman"/>
          <w:sz w:val="22"/>
          <w:szCs w:val="22"/>
        </w:rPr>
        <w:t>the invoice together with the request for provisional acceptance of the supplies.</w:t>
      </w:r>
    </w:p>
    <w:p w14:paraId="21DD1760" w14:textId="3B0AE0CB" w:rsidR="0047783A" w:rsidRPr="003D6B6C" w:rsidRDefault="0047783A" w:rsidP="00971311">
      <w:pPr>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971311" w:rsidRPr="006B7E77">
        <w:rPr>
          <w:rFonts w:ascii="Times New Roman" w:hAnsi="Times New Roman"/>
          <w:sz w:val="22"/>
          <w:szCs w:val="22"/>
        </w:rPr>
        <w:t>This contract does not include a price revision clause.</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77542048" w:rsidR="0047783A" w:rsidRPr="003D6B6C" w:rsidRDefault="0047783A" w:rsidP="00971311">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971311" w:rsidRPr="004E0067">
        <w:rPr>
          <w:rFonts w:ascii="Times New Roman" w:hAnsi="Times New Roman"/>
          <w:snapToGrid/>
          <w:color w:val="000000"/>
          <w:sz w:val="22"/>
          <w:szCs w:val="22"/>
          <w:lang w:eastAsia="en-GB"/>
        </w:rPr>
        <w:t>By derogation from Article 28.2 of the general conditions, o</w:t>
      </w:r>
      <w:r w:rsidR="00971311" w:rsidRPr="004E0067">
        <w:rPr>
          <w:rFonts w:ascii="Times New Roman" w:hAnsi="Times New Roman"/>
          <w:color w:val="000000"/>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5"/>
    </w:p>
    <w:p w14:paraId="38B46497" w14:textId="1CDAF08F" w:rsidR="00971311" w:rsidRPr="004E0067" w:rsidRDefault="0047783A" w:rsidP="00971311">
      <w:pPr>
        <w:autoSpaceDE w:val="0"/>
        <w:autoSpaceDN w:val="0"/>
        <w:adjustRightInd w:val="0"/>
        <w:ind w:left="1134" w:hanging="709"/>
        <w:jc w:val="both"/>
        <w:rPr>
          <w:rFonts w:ascii="Times New Roman" w:hAnsi="Times New Roman"/>
          <w:color w:val="000000"/>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971311" w:rsidRPr="004E0067">
        <w:rPr>
          <w:rFonts w:ascii="Times New Roman" w:hAnsi="Times New Roman"/>
          <w:color w:val="000000"/>
          <w:sz w:val="22"/>
          <w:szCs w:val="22"/>
        </w:rPr>
        <w:t>The packaging shall become the property of the recipient subject to environmental considerations.</w:t>
      </w:r>
    </w:p>
    <w:p w14:paraId="7B83C9BF" w14:textId="0F679326" w:rsidR="00971311" w:rsidRPr="004E0067" w:rsidRDefault="00971311" w:rsidP="00971311">
      <w:pPr>
        <w:autoSpaceDE w:val="0"/>
        <w:autoSpaceDN w:val="0"/>
        <w:adjustRightInd w:val="0"/>
        <w:ind w:left="709" w:hanging="709"/>
        <w:jc w:val="both"/>
        <w:rPr>
          <w:rFonts w:ascii="Times New Roman" w:hAnsi="Times New Roman"/>
          <w:color w:val="000000"/>
          <w:sz w:val="22"/>
          <w:szCs w:val="22"/>
        </w:rPr>
      </w:pPr>
      <w:r w:rsidRPr="004E0067">
        <w:rPr>
          <w:rFonts w:ascii="Times New Roman" w:hAnsi="Times New Roman"/>
          <w:color w:val="000000"/>
          <w:sz w:val="22"/>
          <w:szCs w:val="22"/>
        </w:rPr>
        <w:t>29.5/6/7</w:t>
      </w:r>
      <w:r>
        <w:rPr>
          <w:rFonts w:ascii="Times New Roman" w:hAnsi="Times New Roman"/>
          <w:color w:val="000000"/>
          <w:sz w:val="22"/>
          <w:szCs w:val="22"/>
        </w:rPr>
        <w:t xml:space="preserve">        </w:t>
      </w:r>
      <w:r w:rsidRPr="004E0067">
        <w:rPr>
          <w:rFonts w:ascii="Times New Roman" w:hAnsi="Times New Roman"/>
          <w:color w:val="000000"/>
          <w:sz w:val="22"/>
          <w:szCs w:val="22"/>
        </w:rPr>
        <w:t>The documents which shall accompany delivery shall include:</w:t>
      </w:r>
    </w:p>
    <w:p w14:paraId="09DF9CE0" w14:textId="77777777" w:rsidR="00971311" w:rsidRPr="004E0067" w:rsidRDefault="00971311" w:rsidP="00971311">
      <w:pPr>
        <w:numPr>
          <w:ilvl w:val="0"/>
          <w:numId w:val="28"/>
        </w:numPr>
        <w:autoSpaceDE w:val="0"/>
        <w:autoSpaceDN w:val="0"/>
        <w:adjustRightInd w:val="0"/>
        <w:jc w:val="both"/>
        <w:rPr>
          <w:rFonts w:ascii="Times New Roman" w:hAnsi="Times New Roman"/>
          <w:color w:val="000000"/>
          <w:sz w:val="22"/>
          <w:szCs w:val="22"/>
        </w:rPr>
      </w:pPr>
      <w:r>
        <w:rPr>
          <w:rFonts w:ascii="Times New Roman" w:hAnsi="Times New Roman"/>
          <w:color w:val="000000"/>
          <w:sz w:val="22"/>
          <w:szCs w:val="22"/>
        </w:rPr>
        <w:t>I</w:t>
      </w:r>
      <w:r w:rsidRPr="004E0067">
        <w:rPr>
          <w:rFonts w:ascii="Times New Roman" w:hAnsi="Times New Roman"/>
          <w:color w:val="000000"/>
          <w:sz w:val="22"/>
          <w:szCs w:val="22"/>
        </w:rPr>
        <w:t>nvoice (with the name and reference number of the project),</w:t>
      </w:r>
    </w:p>
    <w:p w14:paraId="4F2C875B" w14:textId="77777777" w:rsidR="00971311" w:rsidRDefault="00971311" w:rsidP="00971311">
      <w:pPr>
        <w:numPr>
          <w:ilvl w:val="0"/>
          <w:numId w:val="28"/>
        </w:numPr>
        <w:autoSpaceDE w:val="0"/>
        <w:autoSpaceDN w:val="0"/>
        <w:adjustRightInd w:val="0"/>
        <w:jc w:val="both"/>
        <w:rPr>
          <w:rFonts w:ascii="Times New Roman" w:hAnsi="Times New Roman"/>
          <w:color w:val="000000"/>
          <w:sz w:val="22"/>
          <w:szCs w:val="22"/>
        </w:rPr>
      </w:pPr>
      <w:r w:rsidRPr="00971311">
        <w:rPr>
          <w:rFonts w:ascii="Times New Roman" w:hAnsi="Times New Roman"/>
          <w:color w:val="000000"/>
          <w:sz w:val="22"/>
          <w:szCs w:val="22"/>
        </w:rPr>
        <w:t>Warranty Certificate</w:t>
      </w:r>
    </w:p>
    <w:p w14:paraId="1444A7B2" w14:textId="37C301E5" w:rsidR="00971311" w:rsidRPr="00971311" w:rsidRDefault="00971311" w:rsidP="00971311">
      <w:pPr>
        <w:numPr>
          <w:ilvl w:val="0"/>
          <w:numId w:val="28"/>
        </w:numPr>
        <w:autoSpaceDE w:val="0"/>
        <w:autoSpaceDN w:val="0"/>
        <w:adjustRightInd w:val="0"/>
        <w:jc w:val="both"/>
        <w:rPr>
          <w:rFonts w:ascii="Times New Roman" w:hAnsi="Times New Roman"/>
          <w:color w:val="000000"/>
          <w:sz w:val="22"/>
          <w:szCs w:val="22"/>
        </w:rPr>
      </w:pPr>
      <w:r>
        <w:rPr>
          <w:rFonts w:ascii="Times New Roman" w:hAnsi="Times New Roman"/>
          <w:color w:val="000000"/>
          <w:sz w:val="22"/>
          <w:szCs w:val="22"/>
        </w:rPr>
        <w:t>C</w:t>
      </w:r>
      <w:r w:rsidRPr="00A42F3B">
        <w:rPr>
          <w:rFonts w:ascii="Times New Roman" w:hAnsi="Times New Roman"/>
          <w:color w:val="000000"/>
          <w:sz w:val="22"/>
          <w:szCs w:val="22"/>
        </w:rPr>
        <w:t xml:space="preserve">ertificate/declaration of conformity, maintenance and user manuals in </w:t>
      </w:r>
      <w:r w:rsidRPr="008625B7">
        <w:rPr>
          <w:rFonts w:ascii="Times New Roman" w:hAnsi="Times New Roman"/>
          <w:color w:val="000000"/>
          <w:sz w:val="22"/>
          <w:szCs w:val="22"/>
        </w:rPr>
        <w:t>English/Serbian</w:t>
      </w:r>
      <w:r>
        <w:rPr>
          <w:rFonts w:ascii="Times New Roman" w:hAnsi="Times New Roman"/>
          <w:color w:val="000000"/>
          <w:sz w:val="22"/>
          <w:szCs w:val="22"/>
        </w:rPr>
        <w:t xml:space="preserve"> </w:t>
      </w:r>
      <w:r w:rsidRPr="00A42F3B">
        <w:rPr>
          <w:rFonts w:ascii="Times New Roman" w:hAnsi="Times New Roman"/>
          <w:color w:val="000000"/>
          <w:sz w:val="22"/>
          <w:szCs w:val="22"/>
        </w:rPr>
        <w:t>language</w:t>
      </w:r>
    </w:p>
    <w:p w14:paraId="0A911D52" w14:textId="5AA40DC2" w:rsidR="0047783A" w:rsidRPr="00971311" w:rsidRDefault="00971311" w:rsidP="00971311">
      <w:pPr>
        <w:numPr>
          <w:ilvl w:val="0"/>
          <w:numId w:val="28"/>
        </w:numPr>
        <w:autoSpaceDE w:val="0"/>
        <w:autoSpaceDN w:val="0"/>
        <w:adjustRightInd w:val="0"/>
        <w:jc w:val="both"/>
        <w:rPr>
          <w:rFonts w:ascii="Times New Roman" w:hAnsi="Times New Roman"/>
          <w:color w:val="000000"/>
          <w:sz w:val="22"/>
          <w:szCs w:val="22"/>
        </w:rPr>
      </w:pPr>
      <w:r w:rsidRPr="00971311">
        <w:rPr>
          <w:rFonts w:ascii="Times New Roman" w:hAnsi="Times New Roman"/>
          <w:color w:val="000000"/>
          <w:sz w:val="22"/>
          <w:szCs w:val="22"/>
        </w:rPr>
        <w:t xml:space="preserve">Certificate of the Road Traffic Safety Agency on vehicles testing, Registration certificate for motor vehicles necessary for the registration of a vehicle. </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6"/>
    </w:p>
    <w:p w14:paraId="31C517EE" w14:textId="77777777" w:rsidR="00971311" w:rsidRPr="003D6B6C" w:rsidRDefault="00971311" w:rsidP="00971311">
      <w:pPr>
        <w:jc w:val="both"/>
        <w:rPr>
          <w:rFonts w:ascii="Times New Roman" w:hAnsi="Times New Roman"/>
          <w:sz w:val="22"/>
          <w:szCs w:val="22"/>
        </w:rPr>
      </w:pPr>
      <w:bookmarkStart w:id="17" w:name="_Toc124934915"/>
      <w:r w:rsidRPr="003D6B6C">
        <w:rPr>
          <w:rFonts w:ascii="Times New Roman" w:hAnsi="Times New Roman"/>
          <w:sz w:val="22"/>
          <w:szCs w:val="22"/>
        </w:rPr>
        <w:t xml:space="preserve">The Certificate of Provisional Acceptance must be issued using the template in Annex C11. </w:t>
      </w:r>
      <w:r w:rsidRPr="00FA034F">
        <w:rPr>
          <w:rFonts w:ascii="Times New Roman" w:hAnsi="Times New Roman"/>
          <w:sz w:val="22"/>
          <w:szCs w:val="22"/>
        </w:rPr>
        <w:t xml:space="preserve">The </w:t>
      </w:r>
      <w:r>
        <w:rPr>
          <w:rFonts w:ascii="Times New Roman" w:hAnsi="Times New Roman"/>
          <w:sz w:val="22"/>
          <w:szCs w:val="22"/>
        </w:rPr>
        <w:t>equipment</w:t>
      </w:r>
      <w:r w:rsidRPr="00FA034F">
        <w:rPr>
          <w:rFonts w:ascii="Times New Roman" w:hAnsi="Times New Roman"/>
          <w:sz w:val="22"/>
          <w:szCs w:val="22"/>
        </w:rPr>
        <w:t xml:space="preserve"> shall be taken over by the Contracting Authority when they have been delivered in accordance with the Contract, and have been commissioned as the case may be, have satisfactorily passed the required tests, and a certificate of provisional acceptance has been issued or is deemed to be issued. The Contracting Authority may appoint its representative to perform provisional acceptance /inspection on its behalf.</w:t>
      </w:r>
    </w:p>
    <w:p w14:paraId="6D19FB26"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32</w:t>
      </w:r>
      <w:r w:rsidRPr="003D6B6C">
        <w:rPr>
          <w:rFonts w:ascii="Times New Roman" w:hAnsi="Times New Roman"/>
          <w:b/>
          <w:sz w:val="24"/>
          <w:szCs w:val="24"/>
        </w:rPr>
        <w:tab/>
        <w:t>Warranty</w:t>
      </w:r>
      <w:bookmarkEnd w:id="17"/>
      <w:r w:rsidR="00177A94" w:rsidRPr="003D6B6C">
        <w:rPr>
          <w:rFonts w:ascii="Times New Roman" w:hAnsi="Times New Roman"/>
          <w:b/>
          <w:sz w:val="24"/>
          <w:szCs w:val="24"/>
        </w:rPr>
        <w:t xml:space="preserve"> obligations</w:t>
      </w:r>
    </w:p>
    <w:p w14:paraId="18C4D014" w14:textId="35637B90"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971311" w:rsidRPr="00A750CF">
        <w:rPr>
          <w:rFonts w:ascii="Times New Roman" w:hAnsi="Times New Roman"/>
          <w:sz w:val="22"/>
          <w:szCs w:val="22"/>
        </w:rPr>
        <w:t xml:space="preserve">Where the commercial warranty issued by the manufacturer of a particular item/product is longer than the below mentioned warranty of </w:t>
      </w:r>
      <w:r w:rsidR="00971311">
        <w:rPr>
          <w:rFonts w:ascii="Times New Roman" w:hAnsi="Times New Roman"/>
          <w:sz w:val="22"/>
          <w:szCs w:val="22"/>
        </w:rPr>
        <w:t>two</w:t>
      </w:r>
      <w:r w:rsidR="00971311" w:rsidRPr="00A750CF">
        <w:rPr>
          <w:rFonts w:ascii="Times New Roman" w:hAnsi="Times New Roman"/>
          <w:sz w:val="22"/>
          <w:szCs w:val="22"/>
        </w:rPr>
        <w:t xml:space="preserve"> year</w:t>
      </w:r>
      <w:r w:rsidR="00971311">
        <w:rPr>
          <w:rFonts w:ascii="Times New Roman" w:hAnsi="Times New Roman"/>
          <w:sz w:val="22"/>
          <w:szCs w:val="22"/>
        </w:rPr>
        <w:t>s</w:t>
      </w:r>
      <w:r w:rsidR="00971311" w:rsidRPr="00A750CF">
        <w:rPr>
          <w:rFonts w:ascii="Times New Roman" w:hAnsi="Times New Roman"/>
          <w:sz w:val="22"/>
          <w:szCs w:val="22"/>
        </w:rPr>
        <w:t xml:space="preserve"> after provisional acceptance, the Contractor will deliver the related certificates/documents to the Beneficiary and will provide complete support to the Beneficiary in contacting the manufacturer.</w:t>
      </w:r>
    </w:p>
    <w:p w14:paraId="516F443D" w14:textId="75A4BF48"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00971311" w:rsidRPr="004E0067">
        <w:rPr>
          <w:rFonts w:ascii="Times New Roman" w:hAnsi="Times New Roman"/>
          <w:color w:val="000000"/>
          <w:sz w:val="22"/>
          <w:szCs w:val="22"/>
        </w:rPr>
        <w:t xml:space="preserve">The warranty must remain </w:t>
      </w:r>
      <w:r w:rsidR="00971311" w:rsidRPr="00D86F3E">
        <w:rPr>
          <w:rFonts w:ascii="Times New Roman" w:hAnsi="Times New Roman"/>
          <w:color w:val="000000"/>
          <w:sz w:val="22"/>
          <w:szCs w:val="22"/>
        </w:rPr>
        <w:t>valid for 2 (two) years</w:t>
      </w:r>
      <w:r w:rsidR="00971311" w:rsidRPr="004E0067">
        <w:rPr>
          <w:rFonts w:ascii="Times New Roman" w:hAnsi="Times New Roman"/>
          <w:color w:val="000000"/>
          <w:sz w:val="22"/>
          <w:szCs w:val="22"/>
        </w:rPr>
        <w:t xml:space="preserve"> after provisional acceptance.</w:t>
      </w:r>
    </w:p>
    <w:p w14:paraId="6B551131" w14:textId="32333BC5" w:rsidR="0047783A" w:rsidRPr="00971311" w:rsidRDefault="0047783A" w:rsidP="00971311">
      <w:pPr>
        <w:spacing w:before="240"/>
        <w:ind w:left="1134" w:hanging="1134"/>
        <w:jc w:val="both"/>
        <w:rPr>
          <w:rFonts w:ascii="Times New Roman" w:hAnsi="Times New Roman"/>
          <w:b/>
          <w:sz w:val="24"/>
          <w:szCs w:val="24"/>
        </w:rPr>
      </w:pPr>
      <w:bookmarkStart w:id="18"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8"/>
    </w:p>
    <w:p w14:paraId="3637455A" w14:textId="3F6C4E75" w:rsidR="00B605B6" w:rsidRPr="00971311" w:rsidRDefault="0047783A" w:rsidP="00971311">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971311" w:rsidRPr="004E0067">
        <w:rPr>
          <w:rFonts w:ascii="Times New Roman" w:hAnsi="Times New Roman"/>
          <w:color w:val="000000"/>
          <w:sz w:val="22"/>
          <w:szCs w:val="22"/>
        </w:rPr>
        <w:t xml:space="preserve">Any disputes arising out of or relating to this contract which cannot be settled otherwise shall be referred to the exclusive jurisdiction </w:t>
      </w:r>
      <w:r w:rsidR="00971311" w:rsidRPr="00CF364F">
        <w:rPr>
          <w:rFonts w:ascii="Times New Roman" w:hAnsi="Times New Roman"/>
          <w:sz w:val="22"/>
          <w:szCs w:val="22"/>
        </w:rPr>
        <w:t xml:space="preserve">of </w:t>
      </w:r>
      <w:r w:rsidR="00971311">
        <w:rPr>
          <w:rFonts w:ascii="Times New Roman" w:hAnsi="Times New Roman"/>
          <w:sz w:val="22"/>
          <w:szCs w:val="22"/>
        </w:rPr>
        <w:t xml:space="preserve">relevant court of law in </w:t>
      </w:r>
      <w:r w:rsidR="00971311" w:rsidRPr="00CF364F">
        <w:rPr>
          <w:rFonts w:ascii="Times New Roman" w:hAnsi="Times New Roman"/>
          <w:sz w:val="22"/>
          <w:szCs w:val="22"/>
        </w:rPr>
        <w:t>Serbia</w:t>
      </w:r>
      <w:r w:rsidR="00971311" w:rsidRPr="004E0067">
        <w:rPr>
          <w:rFonts w:ascii="Times New Roman" w:hAnsi="Times New Roman"/>
          <w:color w:val="000000"/>
          <w:sz w:val="22"/>
          <w:szCs w:val="22"/>
        </w:rPr>
        <w:t xml:space="preserve"> in accordance with the national legislation of the state of the contracting authority</w:t>
      </w:r>
      <w:r w:rsidR="0049293D">
        <w:rPr>
          <w:sz w:val="22"/>
          <w:szCs w:val="22"/>
        </w:rPr>
        <w:t xml:space="preserve"> </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3"/>
      <w:headerReference w:type="default" r:id="rId14"/>
      <w:footerReference w:type="even" r:id="rId15"/>
      <w:footerReference w:type="default" r:id="rId16"/>
      <w:headerReference w:type="first" r:id="rId17"/>
      <w:footerReference w:type="first" r:id="rId18"/>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F90F0E" w14:textId="77777777" w:rsidR="00397092" w:rsidRPr="006A5F84" w:rsidRDefault="00397092">
      <w:r w:rsidRPr="006A5F84">
        <w:separator/>
      </w:r>
    </w:p>
  </w:endnote>
  <w:endnote w:type="continuationSeparator" w:id="0">
    <w:p w14:paraId="4EE48758" w14:textId="77777777" w:rsidR="00397092" w:rsidRPr="006A5F84" w:rsidRDefault="0039709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B0604020202020204"/>
    <w:charset w:val="00"/>
    <w:family w:val="roman"/>
    <w:notTrueType/>
    <w:pitch w:val="variable"/>
    <w:sig w:usb0="00000003" w:usb1="00000000" w:usb2="00000000" w:usb3="00000000" w:csb0="00000001" w:csb1="00000000"/>
  </w:font>
  <w:font w:name="Optima">
    <w:altName w:val="﷽﷽﷽﷽﷽﷽"/>
    <w:panose1 w:val="020005030600000200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D2995" w14:textId="0EEC8100" w:rsidR="007E36E3" w:rsidRPr="00FE689C" w:rsidRDefault="004626B5"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4626B5">
      <w:rPr>
        <w:rFonts w:ascii="Times New Roman" w:hAnsi="Times New Roman"/>
        <w:b/>
        <w:sz w:val="18"/>
        <w:lang w:val="en-GB"/>
      </w:rPr>
      <w:t xml:space="preserve">December </w:t>
    </w:r>
    <w:r w:rsidR="00CA1E77">
      <w:rPr>
        <w:rFonts w:ascii="Times New Roman" w:hAnsi="Times New Roman"/>
        <w:b/>
        <w:sz w:val="18"/>
        <w:lang w:val="en-GB"/>
      </w:rPr>
      <w:t>2021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33E51B" w14:textId="77777777" w:rsidR="00397092" w:rsidRPr="006A5F84" w:rsidRDefault="00397092">
      <w:r w:rsidRPr="006A5F84">
        <w:separator/>
      </w:r>
    </w:p>
  </w:footnote>
  <w:footnote w:type="continuationSeparator" w:id="0">
    <w:p w14:paraId="025338C6" w14:textId="77777777" w:rsidR="00397092" w:rsidRPr="006A5F84" w:rsidRDefault="00397092">
      <w:r w:rsidRPr="006A5F84">
        <w:continuationSeparator/>
      </w:r>
    </w:p>
  </w:footnote>
  <w:footnote w:id="1">
    <w:p w14:paraId="599FFA32" w14:textId="77777777" w:rsidR="007E7553" w:rsidRPr="003D6B6C" w:rsidRDefault="007E7553" w:rsidP="007E7553">
      <w:pPr>
        <w:pStyle w:val="FootnoteText"/>
        <w:ind w:left="142" w:hanging="142"/>
        <w:rPr>
          <w:lang w:val="en-GB"/>
        </w:rPr>
      </w:pPr>
      <w:r w:rsidRPr="003D6B6C">
        <w:rPr>
          <w:rStyle w:val="FootnoteReference"/>
        </w:rPr>
        <w:footnoteRef/>
      </w:r>
      <w:r>
        <w:rPr>
          <w:lang w:val="en-GB"/>
        </w:rPr>
        <w:tab/>
      </w:r>
      <w:r w:rsidRPr="003D6B6C">
        <w:rPr>
          <w:lang w:val="en-GB"/>
        </w:rPr>
        <w:t xml:space="preserve">See </w:t>
      </w:r>
      <w:hyperlink r:id="rId1" w:history="1">
        <w:r w:rsidRPr="00FC1D90">
          <w:rPr>
            <w:rStyle w:val="Hyperlink"/>
            <w:lang w:val="en-GB"/>
          </w:rPr>
          <w:t>http://www.iccwbo.org/products-and-services/trade-facilitation/incoterms-2010/the-incoterms-rules/</w:t>
        </w:r>
      </w:hyperlink>
      <w:r w:rsidRPr="003D6B6C">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E25881"/>
    <w:multiLevelType w:val="hybridMultilevel"/>
    <w:tmpl w:val="30F81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E9C357C"/>
    <w:multiLevelType w:val="hybridMultilevel"/>
    <w:tmpl w:val="0A2CB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4F6A62BA"/>
    <w:multiLevelType w:val="hybridMultilevel"/>
    <w:tmpl w:val="7178675E"/>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0"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A5025B7"/>
    <w:multiLevelType w:val="hybridMultilevel"/>
    <w:tmpl w:val="1A766F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25"/>
  </w:num>
  <w:num w:numId="3">
    <w:abstractNumId w:val="9"/>
  </w:num>
  <w:num w:numId="4">
    <w:abstractNumId w:val="12"/>
  </w:num>
  <w:num w:numId="5">
    <w:abstractNumId w:val="27"/>
  </w:num>
  <w:num w:numId="6">
    <w:abstractNumId w:val="7"/>
  </w:num>
  <w:num w:numId="7">
    <w:abstractNumId w:val="4"/>
  </w:num>
  <w:num w:numId="8">
    <w:abstractNumId w:val="1"/>
  </w:num>
  <w:num w:numId="9">
    <w:abstractNumId w:val="14"/>
  </w:num>
  <w:num w:numId="10">
    <w:abstractNumId w:val="3"/>
  </w:num>
  <w:num w:numId="11">
    <w:abstractNumId w:val="23"/>
  </w:num>
  <w:num w:numId="12">
    <w:abstractNumId w:val="11"/>
  </w:num>
  <w:num w:numId="13">
    <w:abstractNumId w:val="5"/>
  </w:num>
  <w:num w:numId="14">
    <w:abstractNumId w:val="20"/>
  </w:num>
  <w:num w:numId="15">
    <w:abstractNumId w:val="21"/>
  </w:num>
  <w:num w:numId="16">
    <w:abstractNumId w:val="6"/>
  </w:num>
  <w:num w:numId="17">
    <w:abstractNumId w:val="17"/>
  </w:num>
  <w:num w:numId="18">
    <w:abstractNumId w:val="8"/>
  </w:num>
  <w:num w:numId="19">
    <w:abstractNumId w:val="2"/>
  </w:num>
  <w:num w:numId="20">
    <w:abstractNumId w:val="24"/>
  </w:num>
  <w:num w:numId="21">
    <w:abstractNumId w:val="18"/>
  </w:num>
  <w:num w:numId="22">
    <w:abstractNumId w:val="15"/>
  </w:num>
  <w:num w:numId="23">
    <w:abstractNumId w:val="0"/>
  </w:num>
  <w:num w:numId="24">
    <w:abstractNumId w:val="22"/>
  </w:num>
  <w:num w:numId="25">
    <w:abstractNumId w:val="16"/>
  </w:num>
  <w:num w:numId="26">
    <w:abstractNumId w:val="19"/>
  </w:num>
  <w:num w:numId="27">
    <w:abstractNumId w:val="13"/>
  </w:num>
  <w:num w:numId="28">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97092"/>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E7553"/>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679FA"/>
    <w:rsid w:val="00971311"/>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RS"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styleId="UnresolvedMention">
    <w:name w:val="Unresolved Mention"/>
    <w:uiPriority w:val="99"/>
    <w:semiHidden/>
    <w:unhideWhenUsed/>
    <w:rsid w:val="007E75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pacbc-bgrs.eu/sites/ipacbc-bgrs-105.gateway.bg/files/pim_v.4.ra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international-partnerships/comm-visibility-requirements_en"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6B876B-081D-4160-9136-753381BFD0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AF8503-C0CF-45EB-BA0E-4B65C202922F}">
  <ds:schemaRefs>
    <ds:schemaRef ds:uri="http://schemas.openxmlformats.org/officeDocument/2006/bibliography"/>
  </ds:schemaRefs>
</ds:datastoreItem>
</file>

<file path=customXml/itemProps3.xml><?xml version="1.0" encoding="utf-8"?>
<ds:datastoreItem xmlns:ds="http://schemas.openxmlformats.org/officeDocument/2006/customXml" ds:itemID="{92CA6638-68CD-4083-9052-7DF20E26703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4A4CAC5-D1EB-4D78-80EF-3D808D1B47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508</TotalTime>
  <Pages>5</Pages>
  <Words>1555</Words>
  <Characters>8869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10404</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Microsoft Office User</cp:lastModifiedBy>
  <cp:revision>36</cp:revision>
  <cp:lastPrinted>2014-02-11T14:32:00Z</cp:lastPrinted>
  <dcterms:created xsi:type="dcterms:W3CDTF">2018-12-18T11:40:00Z</dcterms:created>
  <dcterms:modified xsi:type="dcterms:W3CDTF">2022-04-05T17:04:00Z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